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  <w:r w:rsidDel="00000000" w:rsidR="00000000" w:rsidRPr="00000000">
        <w:rPr>
          <w:sz w:val="36"/>
          <w:szCs w:val="36"/>
          <w:rtl w:val="0"/>
        </w:rPr>
        <w:t xml:space="preserve">Training 4 – Day 1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Social Entrepreneurship Knowledge Hubs</w:t>
      </w:r>
    </w:p>
    <w:tbl>
      <w:tblPr>
        <w:tblStyle w:val="Table1"/>
        <w:tblW w:w="8914.999999999998" w:type="dxa"/>
        <w:jc w:val="left"/>
        <w:tblInd w:w="-3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6"/>
        <w:gridCol w:w="1298"/>
        <w:gridCol w:w="1100"/>
        <w:gridCol w:w="2252"/>
        <w:gridCol w:w="3649"/>
        <w:gridCol w:w="1"/>
        <w:gridCol w:w="1"/>
        <w:tblGridChange w:id="0">
          <w:tblGrid>
            <w:gridCol w:w="616"/>
            <w:gridCol w:w="1298"/>
            <w:gridCol w:w="1100"/>
            <w:gridCol w:w="2252"/>
            <w:gridCol w:w="3649"/>
            <w:gridCol w:w="1"/>
            <w:gridCol w:w="1"/>
          </w:tblGrid>
        </w:tblGridChange>
      </w:tblGrid>
      <w:tr>
        <w:tc>
          <w:tcPr>
            <w:shd w:fill="33cccc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shd w:fill="33cccc" w:val="clear"/>
          </w:tcPr>
          <w:p w:rsidR="00000000" w:rsidDel="00000000" w:rsidP="00000000" w:rsidRDefault="00000000" w:rsidRPr="00000000" w14:paraId="0000000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 of resource</w:t>
            </w:r>
          </w:p>
        </w:tc>
        <w:tc>
          <w:tcPr>
            <w:shd w:fill="33cccc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Duration</w:t>
            </w:r>
          </w:p>
        </w:tc>
        <w:tc>
          <w:tcPr>
            <w:shd w:fill="33cccc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</w:t>
            </w:r>
          </w:p>
        </w:tc>
        <w:tc>
          <w:tcPr>
            <w:shd w:fill="33cccc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shd w:fill="33cccc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Objective</w:t>
            </w:r>
          </w:p>
        </w:tc>
        <w:tc>
          <w:tcPr>
            <w:shd w:fill="33cccc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</w:t>
            </w:r>
          </w:p>
        </w:tc>
      </w:tr>
      <w:tr>
        <w:tc>
          <w:tcPr>
            <w:shd w:fill="cc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1.0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4:15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Welcome to training 4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the training topics 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Bringing everyone on board again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10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</w:t>
              </w:r>
            </w:hyperlink>
            <w:r w:rsidDel="00000000" w:rsidR="00000000" w:rsidRPr="00000000">
              <w:fldChar w:fldCharType="begin"/>
              <w:instrText xml:space="preserve"> HYPERLINK "https://youtu.be/-G1l-PILVNA"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fldChar w:fldCharType="end"/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be/-G1l-PILVA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12:48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What SE expect from a SEKH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4 Social Entrepreneurs introduce themselves &amp; their business model, their challenges &amp; what do they expect from SE hub.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Providing ideas to potential SE but also to the founders of a SEKH in terms of their service portfolio.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shd w:fill="f9f9f9" w:val="clear"/>
                  <w:rtl w:val="0"/>
                </w:rPr>
                <w:t xml:space="preserve">What Social Entrepreneurs expect from a Social Knowledge Hub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ffff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20:10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Importance &amp; Challenges of a SEKH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Rüdiger Wetzl-Piewald gives insights about the Styrian Social Business Hub: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i.) importance of a SE Hub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ii.) social vs traditional entrepreneurship hub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iii.) managing &amp; engaging stakeholders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iv.) vision &amp; mission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iv)  measuring the success 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Inspirations for the operation, business, marketing and sustainability plan 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ind w:left="720" w:hanging="360"/>
              <w:rPr>
                <w:u w:val="none"/>
                <w:shd w:fill="f9f9f9" w:val="clear"/>
              </w:rPr>
            </w:pPr>
            <w:hyperlink r:id="rId10">
              <w:r w:rsidDel="00000000" w:rsidR="00000000" w:rsidRPr="00000000">
                <w:rPr>
                  <w:color w:val="0563c1"/>
                  <w:u w:val="single"/>
                  <w:shd w:fill="f9f9f9" w:val="clear"/>
                  <w:rtl w:val="0"/>
                </w:rPr>
                <w:t xml:space="preserve">https://youtu.be/7NbVgc2OW7c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8:55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Stakeholder Management vs.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Engagement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Summarizes the differences between Stakeholder Management and Stakeholder engagement and is linking these topics to the SEKH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Raising Awareness of the two concepts of Stakeholder management and Stakeholder engagement and encourages to follow the 5 steps for implementation.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hyperlink r:id="rId11">
              <w:r w:rsidDel="00000000" w:rsidR="00000000" w:rsidRPr="00000000">
                <w:rPr>
                  <w:color w:val="0563c1"/>
                  <w:u w:val="single"/>
                  <w:shd w:fill="f9f9f9" w:val="clear"/>
                  <w:rtl w:val="0"/>
                </w:rPr>
                <w:t xml:space="preserve">https://youtu.be/c2m4Iqos4ac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ffff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Transparency &amp; Accountability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Highlights the importance of these two aspects in the business setting and put into context of the SEKH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Introduction to the concepts of Transparency &amp; Accountability and how to implement these when setting up a SEKH. </w:t>
            </w:r>
          </w:p>
        </w:tc>
        <w:tc>
          <w:tcPr>
            <w:shd w:fill="ccffff" w:val="clear"/>
          </w:tcPr>
          <w:p w:rsidR="00000000" w:rsidDel="00000000" w:rsidP="00000000" w:rsidRDefault="00000000" w:rsidRPr="00000000" w14:paraId="00000033">
            <w:pPr>
              <w:rPr/>
            </w:pPr>
            <w:hyperlink r:id="rId12">
              <w:r w:rsidDel="00000000" w:rsidR="00000000" w:rsidRPr="00000000">
                <w:rPr>
                  <w:color w:val="0563c1"/>
                  <w:u w:val="single"/>
                  <w:shd w:fill="f9f9f9" w:val="clear"/>
                  <w:rtl w:val="0"/>
                </w:rPr>
                <w:t xml:space="preserve">https://youtu.be/EbAT1m21XqE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9:25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Technicalities about SEKH 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Recaps the what needs to be considered when setting up the SEKH and what outputs are expected from the SEKH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To ensure a common understanding what deliverables are expected from the SEKH.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hyperlink r:id="rId13">
              <w:r w:rsidDel="00000000" w:rsidR="00000000" w:rsidRPr="00000000">
                <w:rPr>
                  <w:color w:val="0563c1"/>
                  <w:u w:val="single"/>
                  <w:shd w:fill="f9f9f9" w:val="clear"/>
                  <w:rtl w:val="0"/>
                </w:rPr>
                <w:t xml:space="preserve">https://youtu.be/rNVw0d9mStQ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Learning Objectives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The video collection for Day 1 has the following learning objectives: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enhancing the understanding what Social Entrepreneurs may expect from a Social Entrepreneurship Knowledge Hub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inspiring with which challenges the universities might be confronted with when running a Social Entrepreneurship Knowledge Hub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improving the knowledge of stakeholder management &amp; stakeholder engagement within a Social Entrepreneurship Knowledge Hub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increasing the awareness of transparency and accountability within a Social Entrepreneurship Knowledge Hub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highlighting the deliverables of the Social Entrepreneurship Knowledge Hub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Tasks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 watching the videos, please prepare a short presentation for our get together – session and share your findings with your STEPup-partners.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3.) Further Readings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a.) Stakeholder Management &amp; Stakeholder Engagement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https://www.gbnews.ch/project-management-the-importance-of-managing-stakeholders/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https://www.datamation.com/careers/8-tips-to-effectively-manage-stakeholders/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https://www.youtube.com/watch?v=ZzqvF9uJ1hA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https://www.youtube.com/watch?v=c7jWzBsd738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b.) Transparency &amp; Accountability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https://www.forbes.com/sites/williamcraig/2018/10/16/10-things-transparency-can-do-for-your-company/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https://www.greatgame.com/the-fundamentals/business-transparency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https://www.youtube.com/watch?v=cUAScafhLRs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https://www.youtube.com/watch?v=OudpHc8h7ow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1906" w:w="16838" w:orient="landscape"/>
      <w:pgMar w:bottom="720" w:top="1260" w:left="1134" w:right="1417" w:header="708" w:footer="2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Task 1</w:t>
    </w:r>
  </w:p>
  <w:p w:rsidR="00000000" w:rsidDel="00000000" w:rsidP="00000000" w:rsidRDefault="00000000" w:rsidRPr="00000000" w14:paraId="00000056">
    <w:pPr>
      <w:numPr>
        <w:ilvl w:val="0"/>
        <w:numId w:val="1"/>
      </w:numPr>
      <w:tabs>
        <w:tab w:val="center" w:pos="4536"/>
        <w:tab w:val="right" w:pos="9072"/>
      </w:tabs>
      <w:spacing w:after="0" w:line="360" w:lineRule="auto"/>
      <w:ind w:left="360"/>
      <w:jc w:val="center"/>
    </w:pPr>
    <w:r w:rsidDel="00000000" w:rsidR="00000000" w:rsidRPr="00000000">
      <w:rPr>
        <w:rtl w:val="0"/>
      </w:rPr>
      <w:t xml:space="preserve">Which key challenges can social entrepreneurs face in your region?</w:t>
    </w:r>
  </w:p>
  <w:p w:rsidR="00000000" w:rsidDel="00000000" w:rsidP="00000000" w:rsidRDefault="00000000" w:rsidRPr="00000000" w14:paraId="00000057">
    <w:pPr>
      <w:numPr>
        <w:ilvl w:val="0"/>
        <w:numId w:val="1"/>
      </w:numPr>
      <w:tabs>
        <w:tab w:val="center" w:pos="4536"/>
        <w:tab w:val="right" w:pos="9072"/>
      </w:tabs>
      <w:spacing w:after="0" w:line="360" w:lineRule="auto"/>
      <w:ind w:left="360"/>
      <w:jc w:val="center"/>
    </w:pPr>
    <w:r w:rsidDel="00000000" w:rsidR="00000000" w:rsidRPr="00000000">
      <w:rPr>
        <w:rtl w:val="0"/>
      </w:rPr>
      <w:t xml:space="preserve">What kind of services do they – the social entrepreneurs – may need from you for a sustainable social business idea?</w:t>
    </w:r>
  </w:p>
  <w:p w:rsidR="00000000" w:rsidDel="00000000" w:rsidP="00000000" w:rsidRDefault="00000000" w:rsidRPr="00000000" w14:paraId="00000058">
    <w:pPr>
      <w:numPr>
        <w:ilvl w:val="0"/>
        <w:numId w:val="1"/>
      </w:numPr>
      <w:tabs>
        <w:tab w:val="center" w:pos="4536"/>
        <w:tab w:val="right" w:pos="9072"/>
      </w:tabs>
      <w:spacing w:line="360" w:lineRule="auto"/>
      <w:ind w:left="360"/>
      <w:jc w:val="center"/>
    </w:pPr>
    <w:r w:rsidDel="00000000" w:rsidR="00000000" w:rsidRPr="00000000">
      <w:rPr>
        <w:rtl w:val="0"/>
      </w:rPr>
      <w:t xml:space="preserve">How can you support them – the social entrepreneurs – in managing their key challenges?</w:t>
    </w:r>
  </w:p>
  <w:p w:rsidR="00000000" w:rsidDel="00000000" w:rsidP="00000000" w:rsidRDefault="00000000" w:rsidRPr="00000000" w14:paraId="00000059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  <w:t xml:space="preserve">Task 2</w:t>
    </w:r>
  </w:p>
  <w:p w:rsidR="00000000" w:rsidDel="00000000" w:rsidP="00000000" w:rsidRDefault="00000000" w:rsidRPr="00000000" w14:paraId="0000005B">
    <w:pPr>
      <w:numPr>
        <w:ilvl w:val="0"/>
        <w:numId w:val="2"/>
      </w:numPr>
      <w:tabs>
        <w:tab w:val="center" w:pos="4536"/>
        <w:tab w:val="right" w:pos="9072"/>
      </w:tabs>
      <w:spacing w:after="0" w:line="360" w:lineRule="auto"/>
      <w:ind w:left="360"/>
      <w:jc w:val="center"/>
      <w:rPr>
        <w:highlight w:val="yellow"/>
      </w:rPr>
    </w:pPr>
    <w:r w:rsidDel="00000000" w:rsidR="00000000" w:rsidRPr="00000000">
      <w:rPr>
        <w:highlight w:val="yellow"/>
        <w:rtl w:val="0"/>
      </w:rPr>
      <w:t xml:space="preserve">What is making your Social Entrepreneurship Hub unique?</w:t>
    </w:r>
  </w:p>
  <w:p w:rsidR="00000000" w:rsidDel="00000000" w:rsidP="00000000" w:rsidRDefault="00000000" w:rsidRPr="00000000" w14:paraId="0000005C">
    <w:pPr>
      <w:numPr>
        <w:ilvl w:val="0"/>
        <w:numId w:val="2"/>
      </w:numPr>
      <w:spacing w:after="0" w:line="360" w:lineRule="auto"/>
      <w:ind w:left="360"/>
      <w:rPr>
        <w:highlight w:val="yellow"/>
      </w:rPr>
    </w:pPr>
    <w:r w:rsidDel="00000000" w:rsidR="00000000" w:rsidRPr="00000000">
      <w:rPr>
        <w:highlight w:val="yellow"/>
        <w:rtl w:val="0"/>
      </w:rPr>
      <w:t xml:space="preserve">Who are your different stakeholders?</w:t>
    </w:r>
  </w:p>
  <w:p w:rsidR="00000000" w:rsidDel="00000000" w:rsidP="00000000" w:rsidRDefault="00000000" w:rsidRPr="00000000" w14:paraId="0000005D">
    <w:pPr>
      <w:numPr>
        <w:ilvl w:val="0"/>
        <w:numId w:val="2"/>
      </w:numPr>
      <w:tabs>
        <w:tab w:val="center" w:pos="4536"/>
        <w:tab w:val="right" w:pos="9072"/>
      </w:tabs>
      <w:spacing w:after="0" w:line="360" w:lineRule="auto"/>
      <w:ind w:left="360"/>
      <w:jc w:val="center"/>
      <w:rPr>
        <w:highlight w:val="yellow"/>
      </w:rPr>
    </w:pPr>
    <w:r w:rsidDel="00000000" w:rsidR="00000000" w:rsidRPr="00000000">
      <w:rPr>
        <w:highlight w:val="yellow"/>
        <w:rtl w:val="0"/>
      </w:rPr>
      <w:t xml:space="preserve">What is your vision &amp; mission? Where do you want to be in the next 5 years?</w:t>
    </w:r>
  </w:p>
  <w:p w:rsidR="00000000" w:rsidDel="00000000" w:rsidP="00000000" w:rsidRDefault="00000000" w:rsidRPr="00000000" w14:paraId="0000005E">
    <w:pPr>
      <w:numPr>
        <w:ilvl w:val="0"/>
        <w:numId w:val="2"/>
      </w:numPr>
      <w:spacing w:line="360" w:lineRule="auto"/>
      <w:ind w:left="360"/>
      <w:rPr>
        <w:highlight w:val="yellow"/>
      </w:rPr>
    </w:pPr>
    <w:r w:rsidDel="00000000" w:rsidR="00000000" w:rsidRPr="00000000">
      <w:rPr>
        <w:highlight w:val="yellow"/>
        <w:rtl w:val="0"/>
      </w:rPr>
      <w:t xml:space="preserve">How are you going to measure your success?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  <w:t xml:space="preserve">Task 3</w:t>
    </w:r>
  </w:p>
  <w:p w:rsidR="00000000" w:rsidDel="00000000" w:rsidP="00000000" w:rsidRDefault="00000000" w:rsidRPr="00000000" w14:paraId="00000061">
    <w:pPr>
      <w:numPr>
        <w:ilvl w:val="0"/>
        <w:numId w:val="4"/>
      </w:numPr>
      <w:tabs>
        <w:tab w:val="center" w:pos="4536"/>
        <w:tab w:val="right" w:pos="9072"/>
      </w:tabs>
      <w:ind w:left="360"/>
      <w:jc w:val="center"/>
    </w:pPr>
    <w:r w:rsidDel="00000000" w:rsidR="00000000" w:rsidRPr="00000000">
      <w:rPr>
        <w:rtl w:val="0"/>
      </w:rPr>
      <w:t xml:space="preserve">Who in your team is responsible for transparency &amp; accountability?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7713930</wp:posOffset>
          </wp:positionH>
          <wp:positionV relativeFrom="paragraph">
            <wp:posOffset>-332446</wp:posOffset>
          </wp:positionV>
          <wp:extent cx="1427582" cy="771896"/>
          <wp:effectExtent b="0" l="0" r="0" t="0"/>
          <wp:wrapNone/>
          <wp:docPr id="3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7582" cy="7718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-954663</wp:posOffset>
          </wp:positionH>
          <wp:positionV relativeFrom="paragraph">
            <wp:posOffset>-252339</wp:posOffset>
          </wp:positionV>
          <wp:extent cx="2618684" cy="574032"/>
          <wp:effectExtent b="0" l="0" r="0" t="0"/>
          <wp:wrapNone/>
          <wp:docPr id="3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684" cy="57403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7A6C7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A6C73"/>
  </w:style>
  <w:style w:type="paragraph" w:styleId="Fuzeile">
    <w:name w:val="footer"/>
    <w:basedOn w:val="Standard"/>
    <w:link w:val="FuzeileZchn"/>
    <w:uiPriority w:val="99"/>
    <w:unhideWhenUsed w:val="1"/>
    <w:rsid w:val="007A6C7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A6C73"/>
  </w:style>
  <w:style w:type="table" w:styleId="Tabellenraster">
    <w:name w:val="Table Grid"/>
    <w:basedOn w:val="NormaleTabelle"/>
    <w:uiPriority w:val="39"/>
    <w:rsid w:val="007A6C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enabsatz">
    <w:name w:val="List Paragraph"/>
    <w:basedOn w:val="Standard"/>
    <w:uiPriority w:val="34"/>
    <w:qFormat w:val="1"/>
    <w:rsid w:val="0085192F"/>
    <w:pPr>
      <w:ind w:left="720" w:firstLine="709"/>
      <w:contextualSpacing w:val="1"/>
    </w:pPr>
  </w:style>
  <w:style w:type="character" w:styleId="Hyperlink">
    <w:name w:val="Hyperlink"/>
    <w:basedOn w:val="Absatz-Standardschriftart"/>
    <w:uiPriority w:val="99"/>
    <w:unhideWhenUsed w:val="1"/>
    <w:rsid w:val="0085192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 w:val="1"/>
    <w:unhideWhenUsed w:val="1"/>
    <w:rsid w:val="00941C1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cUAScafhLRs" TargetMode="External"/><Relationship Id="rId11" Type="http://schemas.openxmlformats.org/officeDocument/2006/relationships/hyperlink" Target="https://youtu.be/c2m4Iqos4ac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youtu.be/7NbVgc2OW7c" TargetMode="External"/><Relationship Id="rId21" Type="http://schemas.openxmlformats.org/officeDocument/2006/relationships/hyperlink" Target="https://www.youtube.com/watch?v=OudpHc8h7ow" TargetMode="External"/><Relationship Id="rId13" Type="http://schemas.openxmlformats.org/officeDocument/2006/relationships/hyperlink" Target="https://youtu.be/rNVw0d9mStQ" TargetMode="External"/><Relationship Id="rId12" Type="http://schemas.openxmlformats.org/officeDocument/2006/relationships/hyperlink" Target="https://youtu.be/EbAT1m21XqE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VJDOE7GhKOo" TargetMode="External"/><Relationship Id="rId15" Type="http://schemas.openxmlformats.org/officeDocument/2006/relationships/hyperlink" Target="https://www.datamation.com/careers/8-tips-to-effectively-manage-stakeholders/" TargetMode="External"/><Relationship Id="rId14" Type="http://schemas.openxmlformats.org/officeDocument/2006/relationships/hyperlink" Target="https://www.gbnews.ch/project-management-the-importance-of-managing-stakeholders/" TargetMode="External"/><Relationship Id="rId17" Type="http://schemas.openxmlformats.org/officeDocument/2006/relationships/hyperlink" Target="https://www.youtube.com/watch?v=c7jWzBsd738" TargetMode="External"/><Relationship Id="rId16" Type="http://schemas.openxmlformats.org/officeDocument/2006/relationships/hyperlink" Target="https://www.youtube.com/watch?v=ZzqvF9uJ1hA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greatgame.com/the-fundamentals/business-transparency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forbes.com/sites/williamcraig/2018/10/16/10-things-transparency-can-do-for-your-company/" TargetMode="External"/><Relationship Id="rId7" Type="http://schemas.openxmlformats.org/officeDocument/2006/relationships/hyperlink" Target="https://youtu.be/-G1l-PILVNA" TargetMode="External"/><Relationship Id="rId8" Type="http://schemas.openxmlformats.org/officeDocument/2006/relationships/hyperlink" Target="https://youtu.be/-G1l-PILVN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5qlYg0rBeZnqifxRuvOsBi683g==">AMUW2mVVzjqSRkyINQ38iFW2lz0TxElMJHcXjf2PmsbEH+aU1+D7jb0F7N3QIW7Y4rl/9saLaUsEcHo9T5z6lHfyTa3FCZdPKspqIXhZ0ocIPBi+KHcCOyI=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2021-06-08T14:26:00Z</dcterms:created>
  <dc:creator>Burböck Birgit</dc:creator>
</cp:coreProperties>
</file>